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"BCDR Plan"</w:t>
            </w:r>
          </w:p>
        </w:tc>
        <w:tc>
          <w:tcPr/>
          <w:p w:rsidR="00000000" w:rsidDel="00000000" w:rsidP="00000000" w:rsidRDefault="00000000" w:rsidRPr="00000000" w14:paraId="00000006">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"Business Continuity Plan"</w:t>
            </w:r>
          </w:p>
        </w:tc>
        <w:tc>
          <w:tcPr/>
          <w:p w:rsidR="00000000" w:rsidDel="00000000" w:rsidP="00000000" w:rsidRDefault="00000000" w:rsidRPr="00000000" w14:paraId="00000008">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0A">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0C">
            <w:pPr>
              <w:numPr>
                <w:ilvl w:val="0"/>
                <w:numId w:val="7"/>
              </w:num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0E">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2.3.3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10">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12">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14">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16">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bl>
    <w:p w:rsidR="00000000" w:rsidDel="00000000" w:rsidP="00000000" w:rsidRDefault="00000000" w:rsidRPr="00000000" w14:paraId="00000017">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8">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9">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A">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B">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1C">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three sections:</w:t>
      </w:r>
    </w:p>
    <w:p w:rsidR="00000000" w:rsidDel="00000000" w:rsidP="00000000" w:rsidRDefault="00000000" w:rsidRPr="00000000" w14:paraId="0000001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1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1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w:t>
      </w:r>
    </w:p>
    <w:p w:rsidR="00000000" w:rsidDel="00000000" w:rsidP="00000000" w:rsidRDefault="00000000" w:rsidRPr="00000000" w14:paraId="00000020">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1">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1t3h5sf" w:id="7"/>
      <w:bookmarkEnd w:id="7"/>
      <w:r w:rsidDel="00000000" w:rsidR="00000000" w:rsidRPr="00000000">
        <w:rPr>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2">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3">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ci93xb" w:id="8"/>
      <w:bookmarkEnd w:id="8"/>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4">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5">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8">
      <w:pPr>
        <w:keepNext w:val="1"/>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9">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A">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2B">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C">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2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2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2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 and</w:t>
      </w:r>
    </w:p>
    <w:p w:rsidR="00000000" w:rsidDel="00000000" w:rsidP="00000000" w:rsidRDefault="00000000" w:rsidRPr="00000000" w14:paraId="00000032">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3">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4">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5">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38">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9">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A">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3B">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9"/>
      <w:bookmarkEnd w:id="9"/>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C">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E">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3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s8eyo1" w:id="10"/>
      <w:bookmarkEnd w:id="10"/>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2">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3">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4">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1"/>
      <w:bookmarkEnd w:id="11"/>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5">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48">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49">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4A">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4B">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4C">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4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4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4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2">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3">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4">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2"/>
      <w:bookmarkEnd w:id="12"/>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5">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6in1rg" w:id="13"/>
      <w:bookmarkEnd w:id="13"/>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lnxbz9" w:id="14"/>
      <w:bookmarkEnd w:id="14"/>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5nkun2" w:id="15"/>
      <w:bookmarkEnd w:id="15"/>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8">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16"/>
      <w:bookmarkEnd w:id="16"/>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9">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17"/>
      <w:bookmarkEnd w:id="17"/>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5A">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18"/>
      <w:bookmarkEnd w:id="18"/>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B">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C">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color w:val="000000"/>
          <w:sz w:val="24"/>
          <w:szCs w:val="24"/>
        </w:rPr>
      </w:pPr>
      <w:bookmarkStart w:colFirst="0" w:colLast="0" w:name="_heading=h.z337ya" w:id="19"/>
      <w:bookmarkEnd w:id="19"/>
      <w:r w:rsidDel="00000000" w:rsidR="00000000" w:rsidRPr="00000000">
        <w:rPr>
          <w:b w:val="1"/>
          <w:color w:val="000000"/>
          <w:sz w:val="24"/>
          <w:szCs w:val="24"/>
          <w:rtl w:val="0"/>
        </w:rPr>
        <w:t xml:space="preserve">Testing the BCDR Plan</w:t>
      </w:r>
    </w:p>
    <w:p w:rsidR="00000000" w:rsidDel="00000000" w:rsidP="00000000" w:rsidRDefault="00000000" w:rsidRPr="00000000" w14:paraId="0000005D">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0"/>
      <w:bookmarkEnd w:id="20"/>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5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5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1">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1"/>
      <w:bookmarkEnd w:id="21"/>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2">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3">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4">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5">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68">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2"/>
      <w:bookmarkEnd w:id="22"/>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9">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bookmarkStart w:colFirst="0" w:colLast="0" w:name="_heading=h.2xcytpi" w:id="23"/>
      <w:bookmarkEnd w:id="23"/>
      <w:r w:rsidDel="00000000" w:rsidR="00000000" w:rsidRPr="00000000">
        <w:rPr>
          <w:b w:val="1"/>
          <w:color w:val="000000"/>
          <w:sz w:val="24"/>
          <w:szCs w:val="24"/>
          <w:rtl w:val="0"/>
        </w:rPr>
        <w:t xml:space="preserve">Invoking the BCDR Plan</w:t>
      </w:r>
    </w:p>
    <w:p w:rsidR="00000000" w:rsidDel="00000000" w:rsidP="00000000" w:rsidRDefault="00000000" w:rsidRPr="00000000" w14:paraId="0000006A">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B">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6C">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6D">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color w:val="000000"/>
          <w:sz w:val="24"/>
          <w:szCs w:val="24"/>
        </w:rPr>
      </w:pPr>
      <w:r w:rsidDel="00000000" w:rsidR="00000000" w:rsidRPr="00000000">
        <w:rPr>
          <w:b w:val="1"/>
          <w:color w:val="000000"/>
          <w:sz w:val="24"/>
          <w:szCs w:val="24"/>
          <w:rtl w:val="0"/>
        </w:rPr>
        <w:t xml:space="preserve">Optional Clauses</w:t>
      </w:r>
    </w:p>
    <w:p w:rsidR="00000000" w:rsidDel="00000000" w:rsidP="00000000" w:rsidRDefault="00000000" w:rsidRPr="00000000" w14:paraId="0000006E">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Gold Contract, if specified in the Order Form, the terms at Annex 1 shall apply to the Call-Off Contract in addition to this Call-Off Schedule 8. </w:t>
      </w:r>
    </w:p>
    <w:p w:rsidR="00000000" w:rsidDel="00000000" w:rsidP="00000000" w:rsidRDefault="00000000" w:rsidRPr="00000000" w14:paraId="0000006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32"/>
          <w:szCs w:val="32"/>
          <w:rtl w:val="0"/>
        </w:rPr>
        <w:t xml:space="preserve">Annex 1: Optional Provisions for Gold Contracts</w:t>
      </w:r>
      <w:r w:rsidDel="00000000" w:rsidR="00000000" w:rsidRPr="00000000">
        <w:rPr>
          <w:rtl w:val="0"/>
        </w:rPr>
      </w:r>
    </w:p>
    <w:p w:rsidR="00000000" w:rsidDel="00000000" w:rsidP="00000000" w:rsidRDefault="00000000" w:rsidRPr="00000000" w14:paraId="00000071">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smallCaps w:val="1"/>
          <w:color w:val="000000"/>
          <w:sz w:val="24"/>
          <w:szCs w:val="24"/>
          <w:rtl w:val="0"/>
        </w:rPr>
        <w:t xml:space="preserve">Definitions</w:t>
      </w:r>
    </w:p>
    <w:p w:rsidR="00000000" w:rsidDel="00000000" w:rsidP="00000000" w:rsidRDefault="00000000" w:rsidRPr="00000000" w14:paraId="00000072">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Annex 1, the following words shall have the following meanings and they shall supplement Joint Schedule 1 (Definitions) and Paragraph 1.1 of Call-Off Schedule 8:</w:t>
      </w:r>
    </w:p>
    <w:tbl>
      <w:tblPr>
        <w:tblStyle w:val="Table2"/>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75">
            <w:pPr>
              <w:numPr>
                <w:ilvl w:val="0"/>
                <w:numId w:val="2"/>
              </w:numPr>
              <w:pBdr>
                <w:top w:space="0" w:sz="0" w:val="nil"/>
                <w:left w:space="0" w:sz="0" w:val="nil"/>
                <w:bottom w:space="0" w:sz="0" w:val="nil"/>
                <w:right w:space="0" w:sz="0" w:val="nil"/>
                <w:between w:space="0" w:sz="0" w:val="nil"/>
              </w:pBdr>
              <w:spacing w:after="240" w:lineRule="auto"/>
              <w:ind w:left="720" w:hanging="720"/>
              <w:rPr>
                <w:rFonts w:ascii="Arial" w:cs="Arial" w:eastAsia="Arial" w:hAnsi="Arial"/>
              </w:rPr>
            </w:pPr>
            <w:r w:rsidDel="00000000" w:rsidR="00000000" w:rsidRPr="00000000">
              <w:rPr>
                <w:rFonts w:ascii="Arial" w:cs="Arial" w:eastAsia="Arial" w:hAnsi="Arial"/>
                <w:color w:val="000000"/>
                <w:sz w:val="22"/>
                <w:szCs w:val="22"/>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76">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78">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7A">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7C">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spacing w:after="240" w:lineRule="auto"/>
              <w:ind w:left="720" w:hanging="720"/>
              <w:rPr>
                <w:rFonts w:ascii="Arial" w:cs="Arial" w:eastAsia="Arial" w:hAnsi="Arial"/>
              </w:rPr>
            </w:pPr>
            <w:r w:rsidDel="00000000" w:rsidR="00000000" w:rsidRPr="00000000">
              <w:rPr>
                <w:rFonts w:ascii="Arial" w:cs="Arial" w:eastAsia="Arial" w:hAnsi="Arial"/>
                <w:color w:val="000000"/>
                <w:sz w:val="22"/>
                <w:szCs w:val="22"/>
                <w:rtl w:val="0"/>
              </w:rPr>
              <w:t xml:space="preserve">any change of Control of the Supplier or a Parent Undertaking of the Supplier;</w:t>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an order is made or an effective resolution is passed for the winding up of any member of the Supplier Group; </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bookmarkStart w:colFirst="0" w:colLast="0" w:name="_heading=h.3as4poj" w:id="27"/>
            <w:bookmarkEnd w:id="27"/>
            <w:r w:rsidDel="00000000" w:rsidR="00000000" w:rsidRPr="00000000">
              <w:rPr>
                <w:rFonts w:ascii="Arial" w:cs="Arial" w:eastAsia="Arial" w:hAnsi="Arial"/>
                <w:color w:val="000000"/>
                <w:sz w:val="24"/>
                <w:szCs w:val="24"/>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8B">
            <w:pPr>
              <w:numPr>
                <w:ilvl w:val="0"/>
                <w:numId w:val="2"/>
              </w:numPr>
              <w:pBdr>
                <w:top w:space="0" w:sz="0" w:val="nil"/>
                <w:left w:space="0" w:sz="0" w:val="nil"/>
                <w:bottom w:space="0" w:sz="0" w:val="nil"/>
                <w:right w:space="0" w:sz="0" w:val="nil"/>
                <w:between w:space="0" w:sz="0" w:val="nil"/>
              </w:pBdr>
              <w:spacing w:after="240" w:lineRule="auto"/>
              <w:ind w:left="720" w:hanging="720"/>
              <w:rPr>
                <w:rFonts w:ascii="Arial" w:cs="Arial" w:eastAsia="Arial" w:hAnsi="Arial"/>
              </w:rPr>
            </w:pPr>
            <w:r w:rsidDel="00000000" w:rsidR="00000000" w:rsidRPr="00000000">
              <w:rPr>
                <w:rFonts w:ascii="Arial" w:cs="Arial" w:eastAsia="Arial" w:hAnsi="Arial"/>
                <w:color w:val="000000"/>
                <w:sz w:val="22"/>
                <w:szCs w:val="22"/>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8C">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8E">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service contract which the Buyer has categorised as a Gold Contract or which the Buyer otherwise considers should be classed as a Critical Service Contract;</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91">
            <w:pPr>
              <w:numPr>
                <w:ilvl w:val="0"/>
                <w:numId w:val="2"/>
              </w:numPr>
              <w:pBdr>
                <w:top w:space="0" w:sz="0" w:val="nil"/>
                <w:left w:space="0" w:sz="0" w:val="nil"/>
                <w:bottom w:space="0" w:sz="0" w:val="nil"/>
                <w:right w:space="0" w:sz="0" w:val="nil"/>
                <w:between w:space="0" w:sz="0" w:val="nil"/>
              </w:pBdr>
              <w:spacing w:after="240" w:lineRule="auto"/>
              <w:ind w:left="720" w:hanging="720"/>
              <w:rPr>
                <w:rFonts w:ascii="Arial" w:cs="Arial" w:eastAsia="Arial" w:hAnsi="Arial"/>
              </w:rPr>
            </w:pPr>
            <w:r w:rsidDel="00000000" w:rsidR="00000000" w:rsidRPr="00000000">
              <w:rPr>
                <w:rFonts w:ascii="Arial" w:cs="Arial" w:eastAsia="Arial" w:hAnsi="Arial"/>
                <w:color w:val="000000"/>
                <w:sz w:val="22"/>
                <w:szCs w:val="22"/>
                <w:rtl w:val="0"/>
              </w:rPr>
              <w:t xml:space="preserve">Group Structure Information and Resolution Commentary; and</w:t>
            </w:r>
            <w:r w:rsidDel="00000000" w:rsidR="00000000" w:rsidRPr="00000000">
              <w:rPr>
                <w:rtl w:val="0"/>
              </w:rPr>
            </w:r>
          </w:p>
          <w:p w:rsidR="00000000" w:rsidDel="00000000" w:rsidP="00000000" w:rsidRDefault="00000000" w:rsidRPr="00000000" w14:paraId="00000092">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r w:rsidDel="00000000" w:rsidR="00000000" w:rsidRPr="00000000">
              <w:rPr>
                <w:rFonts w:ascii="Arial" w:cs="Arial" w:eastAsia="Arial" w:hAnsi="Arial"/>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94">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“Group Structure Information and Resolution Commentary”</w:t>
            </w:r>
          </w:p>
        </w:tc>
        <w:tc>
          <w:tcPr/>
          <w:p w:rsidR="00000000" w:rsidDel="00000000" w:rsidP="00000000" w:rsidRDefault="00000000" w:rsidRPr="00000000" w14:paraId="00000096">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bookmarkStart w:colFirst="0" w:colLast="0" w:name="_heading=h.1pxezwc" w:id="28"/>
            <w:bookmarkEnd w:id="28"/>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Appendix 1 to Part B of Annex 1;</w:t>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98">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9A">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p>
        </w:tc>
      </w:tr>
      <w:tr>
        <w:trPr>
          <w:cantSplit w:val="0"/>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bookmarkStart w:colFirst="0" w:colLast="0" w:name="_heading=h.49x2ik5" w:id="29"/>
            <w:bookmarkEnd w:id="29"/>
            <w:r w:rsidDel="00000000" w:rsidR="00000000" w:rsidRPr="00000000">
              <w:rPr>
                <w:rFonts w:ascii="Arial" w:cs="Arial" w:eastAsia="Arial" w:hAnsi="Arial"/>
                <w:b w:val="1"/>
                <w:sz w:val="24"/>
                <w:szCs w:val="24"/>
                <w:rtl w:val="0"/>
              </w:rPr>
              <w:t xml:space="preserve">“Relevant Authority” or “Relevant Authorities”</w:t>
            </w:r>
          </w:p>
        </w:tc>
        <w:tc>
          <w:tcPr/>
          <w:p w:rsidR="00000000" w:rsidDel="00000000" w:rsidP="00000000" w:rsidRDefault="00000000" w:rsidRPr="00000000" w14:paraId="0000009C">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rHeight w:val="567" w:hRule="atLeast"/>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9E">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A0">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A2">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bookmarkStart w:colFirst="0" w:colLast="0" w:name="_heading=h.147n2zr" w:id="31"/>
            <w:bookmarkEnd w:id="31"/>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trPr>
          <w:cantSplit w:val="0"/>
          <w:trHeight w:val="567" w:hRule="atLeast"/>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A4">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bookmarkStart w:colFirst="0" w:colLast="0" w:name="_heading=h.3o7alnk" w:id="32"/>
            <w:bookmarkEnd w:id="32"/>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Appendix 2 of Part B of Annex 1;</w:t>
            </w:r>
          </w:p>
        </w:tc>
      </w:tr>
    </w:tbl>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Insolvency Continuity Plan</w:t>
      </w:r>
    </w:p>
    <w:p w:rsidR="00000000" w:rsidDel="00000000" w:rsidP="00000000" w:rsidRDefault="00000000" w:rsidRPr="00000000" w14:paraId="000000A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color w:val="000000"/>
          <w:sz w:val="24"/>
          <w:szCs w:val="24"/>
          <w:rtl w:val="0"/>
        </w:rPr>
        <w:t xml:space="preserve">Service Continuity Plan: Section 4 – Insolvency Continuity Plan</w:t>
      </w:r>
      <w:r w:rsidDel="00000000" w:rsidR="00000000" w:rsidRPr="00000000">
        <w:rPr>
          <w:rtl w:val="0"/>
        </w:rPr>
      </w:r>
    </w:p>
    <w:p w:rsidR="00000000" w:rsidDel="00000000" w:rsidP="00000000" w:rsidRDefault="00000000" w:rsidRPr="00000000" w14:paraId="000000A7">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In addition to the sections detailed in Paragraph 2.3 of Call-Off Schedule 8, the BCDR plan shall have a 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A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A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A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A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A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B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sz w:val="24"/>
          <w:szCs w:val="24"/>
          <w:rtl w:val="0"/>
        </w:rPr>
        <w:t xml:space="preserve">In addition to the provisions of Paragraph 3.1.1 of Call-Off Schedule 8, </w:t>
      </w:r>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B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B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B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Service Suppliers in each case as notified to the Supplier by the Buyer from time to time.</w:t>
      </w:r>
    </w:p>
    <w:p w:rsidR="00000000" w:rsidDel="00000000" w:rsidP="00000000" w:rsidRDefault="00000000" w:rsidRPr="00000000" w14:paraId="000000B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Insolvency Continuity Plan element of the BCDR Plan, including any linked elements in other parts of the BCDR Plan, shall be invoked by the Supplier:</w:t>
      </w:r>
    </w:p>
    <w:p w:rsidR="00000000" w:rsidDel="00000000" w:rsidP="00000000" w:rsidRDefault="00000000" w:rsidRPr="00000000" w14:paraId="000000B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7">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B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sz w:val="24"/>
          <w:szCs w:val="24"/>
          <w:rtl w:val="0"/>
        </w:rPr>
        <w:t xml:space="preserve">is</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BB">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B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BD">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3 to 5 of this Part B shall apply if the Contract has been specified as a Critical Service Contract under Paragraph 2.1 of this Part B or the Supplier is or becomes a Public Sector Dependent Supplier.</w:t>
      </w:r>
    </w:p>
    <w:p w:rsidR="00000000" w:rsidDel="00000000" w:rsidP="00000000" w:rsidRDefault="00000000" w:rsidRPr="00000000" w14:paraId="000000BE">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3.6, 3.10 and 3.11 of this Part B:</w:t>
      </w:r>
    </w:p>
    <w:p w:rsidR="00000000" w:rsidDel="00000000" w:rsidP="00000000" w:rsidRDefault="00000000" w:rsidRPr="00000000" w14:paraId="000000B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Relevant Authority or Relevant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C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in accordance with Paragraph 11.2(a) of this Part B, where the Supplier is a Public Sector Dependent Supplier, it shall provide the Relevant Authority or Relevant Authorities with the CRP Information within 60 days of the date of the Relevant Authority’s or Relevant Authorities’ request.</w:t>
      </w:r>
    </w:p>
    <w:p w:rsidR="00000000" w:rsidDel="00000000" w:rsidP="00000000" w:rsidRDefault="00000000" w:rsidRPr="00000000" w14:paraId="000000C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3.2, 3.8 and 3.9 of this Part B:</w:t>
      </w:r>
    </w:p>
    <w:p w:rsidR="00000000" w:rsidDel="00000000" w:rsidP="00000000" w:rsidRDefault="00000000" w:rsidRPr="00000000" w14:paraId="000000C2">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C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C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C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C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Relevant Authority or Relevant Authorities to understand and consider the information for approval;</w:t>
      </w:r>
    </w:p>
    <w:p w:rsidR="00000000" w:rsidDel="00000000" w:rsidP="00000000" w:rsidRDefault="00000000" w:rsidRPr="00000000" w14:paraId="000000C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C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C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Relevant Authority or Relevant Authorities of the CRP Information pursuant to Paragraphs 3.2, 3.8 and 3.9 of this Part B, the Buyer shall procure that the Relevant Authority or Relevant Authorities shall discuss in good faith the contents of the CRP Information with the Supplier and no later than 60 days after the date on which the CRP Information was delivered by the Supplier either provide an Assurance to the Supplier that the Relevant Authority or Relevant Authorities approves the CRP Information or that the Relevant Authority or Relevant Authorities rejects the CRP Information.</w:t>
      </w:r>
    </w:p>
    <w:p w:rsidR="00000000" w:rsidDel="00000000" w:rsidP="00000000" w:rsidRDefault="00000000" w:rsidRPr="00000000" w14:paraId="000000C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Relevant Authority or Relevant Authorities rejects the CRP Information:</w:t>
      </w:r>
    </w:p>
    <w:p w:rsidR="00000000" w:rsidDel="00000000" w:rsidP="00000000" w:rsidRDefault="00000000" w:rsidRPr="00000000" w14:paraId="000000C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C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Relevant Authority’s or Relevant Authorities’ comments, and shall re-submit the CRP Information to the Relevant Authority or Relevant Authorities for approval within 30 days of the date of the Relevant Authority’s or Relevant Authorities’ rejection. The provisions of paragraph 3.3 to 3.5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CD">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Relevant Authority or Relevant Authorities on or before the date on which the CRP Information would otherwise have been required.</w:t>
      </w:r>
    </w:p>
    <w:p w:rsidR="00000000" w:rsidDel="00000000" w:rsidP="00000000" w:rsidRDefault="00000000" w:rsidRPr="00000000" w14:paraId="000000CE">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3.6 of this Part B if:</w:t>
      </w:r>
    </w:p>
    <w:p w:rsidR="00000000" w:rsidDel="00000000" w:rsidP="00000000" w:rsidRDefault="00000000" w:rsidRPr="00000000" w14:paraId="000000C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D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D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3.8(c) of this Part B its initial CRP Information) to the Relevant Authority or Relevant Authorities:</w:t>
      </w:r>
    </w:p>
    <w:p w:rsidR="00000000" w:rsidDel="00000000" w:rsidP="00000000" w:rsidRDefault="00000000" w:rsidRPr="00000000" w14:paraId="000000D2">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of this Part B) unless the Supplier is relieved of the consequences of the Financial Distress Event under Paragraph 7.1 of Annex 3 to Joint Schedule 7 (Financial Distress) (if applicable);</w:t>
      </w:r>
    </w:p>
    <w:p w:rsidR="00000000" w:rsidDel="00000000" w:rsidP="00000000" w:rsidRDefault="00000000" w:rsidRPr="00000000" w14:paraId="000000D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3.10;</w:t>
      </w:r>
    </w:p>
    <w:p w:rsidR="00000000" w:rsidDel="00000000" w:rsidP="00000000" w:rsidRDefault="00000000" w:rsidRPr="00000000" w14:paraId="000000D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D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D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D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Relevant Authority (whichever is the earlier), unless:</w:t>
      </w:r>
    </w:p>
    <w:p w:rsidR="00000000" w:rsidDel="00000000" w:rsidP="00000000" w:rsidRDefault="00000000" w:rsidRPr="00000000" w14:paraId="000000D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38(a) 3.8(b) or 3.8(c) since the most recent Accounting Reference Date (being no more than 12 months previously) within the timescales that would ordinarily be required for the provision of that information under this Paragraph 3.8(d); or</w:t>
      </w:r>
    </w:p>
    <w:p w:rsidR="00000000" w:rsidDel="00000000" w:rsidP="00000000" w:rsidRDefault="00000000" w:rsidRPr="00000000" w14:paraId="000000D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3.10.</w:t>
      </w:r>
    </w:p>
    <w:p w:rsidR="00000000" w:rsidDel="00000000" w:rsidP="00000000" w:rsidRDefault="00000000" w:rsidRPr="00000000" w14:paraId="000000D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3.8(a) to (d) of this Part B, the Supplier shall provide at the request of the Relevant Authority or Relevant Authorities and within the applicable timescales for each event as set out in Paragraph 3.8 (or such longer timescales as may be notified to the Supplier by the Buyer), the CRP Information to the Relevant Authority or Relevant Authorities.</w:t>
      </w:r>
    </w:p>
    <w:p w:rsidR="00000000" w:rsidDel="00000000" w:rsidP="00000000" w:rsidRDefault="00000000" w:rsidRPr="00000000" w14:paraId="000000DB">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D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DD">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DE">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E0">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5, where the Supplier demonstrates to the reasonable satisfaction of the Relevant Authority or Relevant Authorities that a particular item of CRP Information is highly confidential, the Supplier may, having orally disclosed and discussed that information with the Relevant Authority or Relevant Authorities, redact or omit that information from the CRP Information provided that if a Financial Distress Event occurs, this exemption shall no longer apply and the Supplier shall promptly provide the relevant information to the Relevant Authority or Relevant Authorities to the extent required under Paragraph 3.8.</w:t>
      </w:r>
    </w:p>
    <w:p w:rsidR="00000000" w:rsidDel="00000000" w:rsidP="00000000" w:rsidRDefault="00000000" w:rsidRPr="00000000" w14:paraId="000000E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E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of this Part B and either:</w:t>
      </w:r>
    </w:p>
    <w:p w:rsidR="00000000" w:rsidDel="00000000" w:rsidP="00000000" w:rsidRDefault="00000000" w:rsidRPr="00000000" w14:paraId="000000E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Relevant Authority’s or Relevant Authorities’ request; or</w:t>
      </w:r>
    </w:p>
    <w:p w:rsidR="00000000" w:rsidDel="00000000" w:rsidP="00000000" w:rsidRDefault="00000000" w:rsidRPr="00000000" w14:paraId="000000E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Relevant Authority or Relevant Authorities within 4 months of the date that it was first required to provide the CRP Information under the Contract,</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E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E7">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E8">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3"/>
      <w:bookmarkEnd w:id="33"/>
      <w:r w:rsidDel="00000000" w:rsidR="00000000" w:rsidRPr="00000000">
        <w:rPr>
          <w:color w:val="000000"/>
          <w:sz w:val="24"/>
          <w:szCs w:val="24"/>
          <w:rtl w:val="0"/>
        </w:rPr>
        <w:t xml:space="preserve">Where the Relevant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of this Part B and Clause 15 of the Core Terms.</w:t>
      </w:r>
    </w:p>
    <w:p w:rsidR="00000000" w:rsidDel="00000000" w:rsidP="00000000" w:rsidRDefault="00000000" w:rsidRPr="00000000" w14:paraId="000000E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Relevant Authority or Relevant Authorities pursuant to Paragraph 3 of this Part B subject, where necessary, to the Relevant Authority or Relevant Authorities entering into an appropriate confidentiality agreement in the form required by the third party.</w:t>
      </w:r>
    </w:p>
    <w:p w:rsidR="00000000" w:rsidDel="00000000" w:rsidP="00000000" w:rsidRDefault="00000000" w:rsidRPr="00000000" w14:paraId="000000E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5.3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E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E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E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E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E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F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F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Relevant Authority or Relevant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0F3">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F4">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0F5">
      <w:pPr>
        <w:numPr>
          <w:ilvl w:val="0"/>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F6">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Relevant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0F7">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F8">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0F9">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FA">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0FB">
      <w:pPr>
        <w:numPr>
          <w:ilvl w:val="0"/>
          <w:numId w:val="5"/>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FC">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FD">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0FE">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0FF">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00">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the Relevant Authority with a copy of the latest version of each underlying contract worth more than £5m per contract year and their related key sub-contracts, which shall be included as embedded documents within the CRP Information or via a directly accessible link.</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8">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RM6232</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03">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0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05">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bZEdvGf1N7QFZohhsW9C9IiEw==">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2024-11-27T09:47:00Z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0x0101002764AF0AF017AC4E89BEB950B1BC77C2</vt:lpwstr>
  </property>
  <property fmtid="{D5CDD505-2E9C-101B-9397-08002B2CF9AE}" pid="4" name="_dlc_DocIdItemGuid">
    <vt:lpwstr>e1deb5c5-eb59-4d70-8688-6d0eebc9d90f</vt:lpwstr>
  </property>
  <property fmtid="{D5CDD505-2E9C-101B-9397-08002B2CF9AE}" pid="5" name="MediaServiceImageTags">
    <vt:lpwstr/>
  </property>
</Properties>
</file>